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BE75F1" w:rsidRPr="00BE75F1" w:rsidP="00BE75F1">
      <w:pPr>
        <w:spacing w:after="0" w:line="240" w:lineRule="auto"/>
        <w:contextualSpacing/>
        <w:rPr>
          <w:b/>
          <w:bCs/>
          <w:sz w:val="28"/>
          <w:szCs w:val="28"/>
        </w:rPr>
      </w:pPr>
    </w:p>
    <w:p w:rsidR="00A12995" w:rsidP="00BE75F1">
      <w:pPr>
        <w:spacing w:after="0" w:line="240" w:lineRule="auto"/>
        <w:contextualSpacing/>
        <w:rPr>
          <w:b/>
          <w:bCs/>
          <w:sz w:val="28"/>
          <w:szCs w:val="28"/>
        </w:rPr>
      </w:pPr>
      <w:r w:rsidR="00902790">
        <w:rPr>
          <w:b/>
          <w:bCs/>
          <w:noProof/>
          <w:sz w:val="28"/>
          <w:szCs w:val="28"/>
        </w:rPr>
        <w:t>Clinical Effectiveness</w:t>
      </w:r>
      <w:r>
        <w:rPr>
          <w:b/>
          <w:bCs/>
          <w:sz w:val="28"/>
          <w:szCs w:val="28"/>
        </w:rPr>
        <w:t xml:space="preserve"> Leadership Training (CELT)</w:t>
      </w:r>
    </w:p>
    <w:p w:rsidR="004A4BBA" w:rsidP="00BE75F1">
      <w:pPr>
        <w:spacing w:after="0" w:line="240" w:lineRule="auto"/>
        <w:contextualSpacing/>
        <w:rPr>
          <w:b/>
          <w:bCs/>
          <w:sz w:val="28"/>
          <w:szCs w:val="28"/>
        </w:rPr>
      </w:pPr>
    </w:p>
    <w:p w:rsidR="00C74738" w:rsidP="00BE75F1">
      <w:pPr>
        <w:spacing w:after="0" w:line="240" w:lineRule="auto"/>
        <w:contextualSpacing/>
        <w:rPr>
          <w:b/>
          <w:bCs/>
          <w:sz w:val="28"/>
          <w:szCs w:val="28"/>
        </w:rPr>
      </w:pPr>
      <w:r>
        <w:rPr>
          <w:b/>
          <w:bCs/>
          <w:sz w:val="28"/>
          <w:szCs w:val="28"/>
        </w:rPr>
        <w:fldChar w:fldCharType="begin"/>
      </w:r>
      <w:r>
        <w:rPr>
          <w:b/>
          <w:bCs/>
          <w:sz w:val="28"/>
          <w:szCs w:val="28"/>
        </w:rPr>
        <w:instrText xml:space="preserve"> IF </w:instrText>
      </w:r>
      <w:r>
        <w:rPr>
          <w:rtl w:val="0"/>
        </w:rPr>
        <w:instrText>1</w:instrText>
      </w:r>
      <w:r>
        <w:rPr>
          <w:b/>
          <w:bCs/>
          <w:sz w:val="28"/>
          <w:szCs w:val="28"/>
        </w:rPr>
        <w:instrText xml:space="preserve"> = </w:instrText>
      </w:r>
      <w:r w:rsidR="00911E90">
        <w:rPr>
          <w:b/>
          <w:bCs/>
          <w:sz w:val="28"/>
          <w:szCs w:val="28"/>
        </w:rPr>
        <w:instrText>1</w:instrText>
      </w:r>
      <w:r>
        <w:rPr>
          <w:b/>
          <w:bCs/>
          <w:sz w:val="28"/>
          <w:szCs w:val="28"/>
        </w:rPr>
        <w:instrText xml:space="preserve"> "</w:instrText>
      </w:r>
    </w:p>
    <w:p w:rsidR="00094587" w:rsidP="00BE75F1">
      <w:pPr>
        <w:spacing w:after="0" w:line="240" w:lineRule="auto"/>
        <w:contextualSpacing/>
        <w:rPr>
          <w:b/>
          <w:bCs/>
          <w:sz w:val="28"/>
          <w:szCs w:val="28"/>
        </w:rPr>
      </w:pPr>
      <w:r>
        <w:rPr>
          <w:b/>
          <w:bCs/>
          <w:sz w:val="28"/>
          <w:szCs w:val="28"/>
        </w:rPr>
        <w:instrText>Event Description: " ""</w:instrText>
      </w:r>
      <w:r>
        <w:rPr>
          <w:b/>
          <w:bCs/>
          <w:sz w:val="28"/>
          <w:szCs w:val="28"/>
        </w:rPr>
        <w:instrText xml:space="preserve"> </w:instrText>
      </w:r>
      <w:r>
        <w:rPr>
          <w:b/>
          <w:bCs/>
          <w:sz w:val="28"/>
          <w:szCs w:val="28"/>
        </w:rPr>
        <w:fldChar w:fldCharType="separate"/>
      </w:r>
    </w:p>
    <w:p w:rsidR="00094587" w:rsidP="00BE75F1">
      <w:pPr>
        <w:spacing w:after="0" w:line="240" w:lineRule="auto"/>
        <w:contextualSpacing/>
        <w:rPr>
          <w:b/>
          <w:bCs/>
          <w:sz w:val="28"/>
          <w:szCs w:val="28"/>
        </w:rPr>
      </w:pPr>
      <w:r>
        <w:rPr>
          <w:b/>
          <w:bCs/>
          <w:sz w:val="28"/>
          <w:szCs w:val="28"/>
        </w:rPr>
        <w:t xml:space="preserve">Event Description: </w:t>
      </w:r>
      <w:r>
        <w:rPr>
          <w:b/>
          <w:bCs/>
          <w:sz w:val="28"/>
          <w:szCs w:val="28"/>
        </w:rPr>
        <w:fldChar w:fldCharType="end"/>
      </w:r>
      <w:r>
        <w:rPr>
          <w:rtl w:val="0"/>
        </w:rPr>
        <w:t>The Clinical Effectiveness Leadership Training (CELT) aims to equip providers and other healthcare professionals with the skills and knowledge necessary to lead clinical improvement initiatives.  The goal of CELT is to provide participants with the understanding and tools to conduct state-of-the-art clinical practice improvement projects, use quality improvement methods to manage and integrate non-clinical processes, implement quality improvement programs, and conduct internal quality improvement training.  This program will allow clinical teams to understand the need for continuous quality improvement so that they can lead change processes within their areas of practice and advance the culture of medicine. </w:t>
      </w:r>
    </w:p>
    <w:p w:rsidR="00A12995" w:rsidP="00BE75F1">
      <w:pPr>
        <w:spacing w:after="0" w:line="240" w:lineRule="auto"/>
        <w:contextualSpacing/>
        <w:rPr>
          <w:b/>
          <w:bCs/>
          <w:sz w:val="28"/>
          <w:szCs w:val="28"/>
        </w:rPr>
      </w:pPr>
    </w:p>
    <w:p w:rsidR="00A12995" w:rsidP="00BE75F1">
      <w:pPr>
        <w:spacing w:after="0" w:line="240" w:lineRule="auto"/>
        <w:contextualSpacing/>
        <w:rPr>
          <w:sz w:val="28"/>
          <w:szCs w:val="28"/>
        </w:rPr>
      </w:pPr>
      <w:r w:rsidRPr="00A12995">
        <w:rPr>
          <w:sz w:val="28"/>
          <w:szCs w:val="28"/>
        </w:rPr>
        <w:t>LISTS</w:t>
      </w:r>
    </w:p>
    <w:p w:rsidR="00A12995" w:rsidP="00BE75F1">
      <w:pPr>
        <w:spacing w:after="0" w:line="240" w:lineRule="auto"/>
        <w:contextualSpacing/>
        <w:rPr>
          <w:sz w:val="28"/>
          <w:szCs w:val="28"/>
        </w:rPr>
      </w:pPr>
    </w:p>
    <w:p w:rsidR="001643D5" w:rsidP="00BE75F1">
      <w:pPr>
        <w:spacing w:after="0" w:line="240" w:lineRule="auto"/>
        <w:contextualSpacing/>
        <w:rPr>
          <w:sz w:val="28"/>
          <w:szCs w:val="28"/>
        </w:rPr>
      </w:pPr>
      <w:r>
        <w:rPr>
          <w:sz w:val="28"/>
          <w:szCs w:val="28"/>
        </w:rPr>
        <w:t>Speaker List</w:t>
      </w:r>
    </w:p>
    <w:tbl>
      <w:tblPr>
        <w:tblW w:w="5000" w:type="pct"/>
        <w:jc w:val="left"/>
        <w:tblCellSpacing w:w="15" w:type="dxa"/>
        <w:tblInd w:w="0" w:type="dxa"/>
        <w:tblCellMar>
          <w:top w:w="15" w:type="dxa"/>
          <w:left w:w="15" w:type="dxa"/>
          <w:bottom w:w="15" w:type="dxa"/>
          <w:right w:w="15" w:type="dxa"/>
        </w:tblCellMar>
      </w:tblPr>
      <w:tblGrid>
        <w:gridCol w:w="9330"/>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Karl Wilkens,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CloudCME</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rsidR="00A12995">
      <w:pPr>
        <w:rPr>
          <w:sz w:val="28"/>
          <w:szCs w:val="28"/>
        </w:rPr>
      </w:pPr>
    </w:p>
    <w:p w:rsidR="001643D5" w:rsidP="00BE75F1">
      <w:pPr>
        <w:spacing w:after="0" w:line="240" w:lineRule="auto"/>
        <w:contextualSpacing/>
        <w:rPr>
          <w:sz w:val="28"/>
          <w:szCs w:val="28"/>
        </w:rPr>
      </w:pPr>
    </w:p>
    <w:p w:rsidR="001643D5" w:rsidP="00BE75F1">
      <w:pPr>
        <w:spacing w:after="0" w:line="240" w:lineRule="auto"/>
        <w:contextualSpacing/>
        <w:rPr>
          <w:sz w:val="28"/>
          <w:szCs w:val="28"/>
        </w:rPr>
      </w:pPr>
      <w:r>
        <w:rPr>
          <w:sz w:val="28"/>
          <w:szCs w:val="28"/>
        </w:rPr>
        <w:t>Planner List (probably won’t work, but that’s fine)</w:t>
      </w:r>
    </w:p>
    <w:p w:rsidR="00A12995" w:rsidRPr="00A12995" w:rsidP="00BE75F1">
      <w:pPr>
        <w:spacing w:after="0" w:line="240" w:lineRule="auto"/>
        <w:contextualSpacing/>
        <w:rPr>
          <w:sz w:val="28"/>
          <w:szCs w:val="28"/>
        </w:rPr>
      </w:pPr>
    </w:p>
    <w:p w:rsidR="00BE75F1" w:rsidRPr="00BE75F1" w:rsidP="00BE75F1">
      <w:pPr>
        <w:spacing w:after="0" w:line="240" w:lineRule="auto"/>
        <w:contextualSpacing/>
        <w:rPr>
          <w:sz w:val="28"/>
          <w:szCs w:val="28"/>
        </w:rPr>
      </w:pPr>
    </w:p>
    <w:p w:rsidR="00BE75F1" w:rsidRPr="00BE75F1" w:rsidP="00BE75F1">
      <w:pPr>
        <w:spacing w:after="0" w:line="240" w:lineRule="auto"/>
        <w:contextualSpacing/>
        <w:rPr>
          <w:sz w:val="28"/>
          <w:szCs w:val="28"/>
        </w:rPr>
      </w:pPr>
    </w:p>
    <w:p w:rsidR="00BE75F1" w:rsidP="00BE75F1">
      <w:pPr>
        <w:spacing w:after="0" w:line="240" w:lineRule="auto"/>
        <w:contextualSpacing/>
        <w:rPr>
          <w:sz w:val="28"/>
          <w:szCs w:val="28"/>
        </w:rPr>
      </w:pPr>
      <w:r w:rsidRPr="00BE75F1">
        <w:rPr>
          <w:sz w:val="28"/>
          <w:szCs w:val="28"/>
        </w:rPr>
        <w:t>DISCLOSURES</w:t>
      </w:r>
    </w:p>
    <w:p w:rsidR="00BE75F1" w:rsidP="00BE75F1">
      <w:pPr>
        <w:spacing w:after="0" w:line="240" w:lineRule="auto"/>
        <w:contextualSpacing/>
        <w:rPr>
          <w:sz w:val="28"/>
          <w:szCs w:val="28"/>
        </w:rPr>
      </w:pPr>
    </w:p>
    <w:p w:rsidR="001643D5" w:rsidRPr="00BE75F1" w:rsidP="00BE75F1">
      <w:pPr>
        <w:spacing w:after="0" w:line="240" w:lineRule="auto"/>
        <w:contextualSpacing/>
        <w:rPr>
          <w:sz w:val="28"/>
          <w:szCs w:val="28"/>
        </w:rPr>
      </w:pPr>
      <w:r>
        <w:rPr>
          <w:sz w:val="28"/>
          <w:szCs w:val="28"/>
        </w:rPr>
        <w:t>Faculty Disclosures</w:t>
      </w:r>
    </w:p>
    <w:p w:rsidR="00BE75F1" w:rsidP="00BE75F1">
      <w:pPr>
        <w:spacing w:after="0" w:line="240" w:lineRule="auto"/>
        <w:contextualSpacing/>
        <w:rPr>
          <w:sz w:val="28"/>
          <w:szCs w:val="28"/>
        </w:rPr>
      </w:pPr>
      <w:r w:rsidRPr="00BE75F1">
        <w:rPr>
          <w:sz w:val="28"/>
          <w:szCs w:val="28"/>
        </w:rPr>
        <w:t xml:space="preserve">Karl Wilkens, MD : </w:t>
      </w:r>
    </w:p>
    <w:p w:rsidR="001643D5" w:rsidP="00BE75F1">
      <w:pPr>
        <w:spacing w:after="0" w:line="240" w:lineRule="auto"/>
        <w:contextualSpacing/>
        <w:rPr>
          <w:sz w:val="28"/>
          <w:szCs w:val="28"/>
        </w:rPr>
      </w:pPr>
    </w:p>
    <w:p w:rsidR="001643D5" w:rsidRPr="00BE75F1" w:rsidP="00BE75F1">
      <w:pPr>
        <w:spacing w:after="0" w:line="240" w:lineRule="auto"/>
        <w:contextualSpacing/>
        <w:rPr>
          <w:sz w:val="28"/>
          <w:szCs w:val="28"/>
        </w:rPr>
      </w:pPr>
      <w:r>
        <w:rPr>
          <w:sz w:val="28"/>
          <w:szCs w:val="28"/>
        </w:rPr>
        <w:t>Planner Disclosures</w:t>
      </w:r>
    </w:p>
    <w:p w:rsidR="00BE75F1" w:rsidP="00BE75F1">
      <w:pPr>
        <w:spacing w:after="0" w:line="240" w:lineRule="auto"/>
        <w:contextualSpacing/>
        <w:rPr>
          <w:sz w:val="28"/>
          <w:szCs w:val="28"/>
        </w:rPr>
      </w:pPr>
    </w:p>
    <w:p w:rsidR="001D4071" w:rsidP="00BE75F1">
      <w:pPr>
        <w:spacing w:after="0" w:line="240" w:lineRule="auto"/>
        <w:contextualSpacing/>
        <w:rPr>
          <w:sz w:val="28"/>
          <w:szCs w:val="28"/>
        </w:rPr>
      </w:pPr>
    </w:p>
    <w:p w:rsidR="001D4071" w:rsidP="00BE75F1">
      <w:pPr>
        <w:spacing w:after="0" w:line="240" w:lineRule="auto"/>
        <w:contextualSpacing/>
        <w:rPr>
          <w:sz w:val="28"/>
          <w:szCs w:val="28"/>
        </w:rPr>
      </w:pPr>
    </w:p>
    <w:p w:rsidR="001D4071" w:rsidP="00BE75F1">
      <w:pPr>
        <w:spacing w:after="0" w:line="240" w:lineRule="auto"/>
        <w:contextualSpacing/>
        <w:rPr>
          <w:sz w:val="28"/>
          <w:szCs w:val="28"/>
        </w:rPr>
      </w:pPr>
      <w:r>
        <w:rPr>
          <w:sz w:val="28"/>
          <w:szCs w:val="28"/>
        </w:rPr>
        <w:t>Planner and Faculty Table</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Karl Wilkens,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0D0780">
      <w:pPr>
        <w:rPr>
          <w:sz w:val="28"/>
          <w:szCs w:val="28"/>
        </w:rPr>
      </w:pPr>
    </w:p>
    <w:p w:rsidR="006A2AEB" w:rsidP="00BE75F1">
      <w:pPr>
        <w:spacing w:after="0" w:line="240" w:lineRule="auto"/>
        <w:contextualSpacing/>
        <w:rPr>
          <w:sz w:val="28"/>
          <w:szCs w:val="28"/>
        </w:rPr>
      </w:pPr>
    </w:p>
    <w:p w:rsidR="00902790" w:rsidP="00BE75F1">
      <w:pPr>
        <w:spacing w:after="0" w:line="240" w:lineRule="auto"/>
        <w:contextualSpacing/>
        <w:rPr>
          <w:sz w:val="28"/>
          <w:szCs w:val="28"/>
        </w:rPr>
      </w:pPr>
      <w:r>
        <w:rPr>
          <w:sz w:val="28"/>
          <w:szCs w:val="28"/>
        </w:rPr>
        <w:t>Commercial Support:</w:t>
      </w:r>
    </w:p>
    <w:p w:rsidR="00D74D44" w:rsidP="00BE75F1">
      <w:pPr>
        <w:spacing w:after="0" w:line="240" w:lineRule="auto"/>
        <w:contextualSpacing/>
        <w:rPr>
          <w:sz w:val="28"/>
          <w:szCs w:val="28"/>
        </w:rPr>
      </w:pPr>
      <w:r>
        <w:rPr>
          <w:noProof/>
          <w:sz w:val="28"/>
          <w:szCs w:val="28"/>
        </w:rPr>
        <w:t>CloudCME Sandbox</w:t>
      </w:r>
      <w:r>
        <w:rPr>
          <w:sz w:val="28"/>
          <w:szCs w:val="28"/>
        </w:rPr>
        <w:t xml:space="preserve"> adheres to the ACCME&amp;rsquo;s Standards for Integrity and Independence in Accredited Continuing Education in regards to Commercial Support.</w:t>
      </w:r>
    </w:p>
    <w:p w:rsidR="00902790" w:rsidP="00BE75F1">
      <w:pPr>
        <w:spacing w:after="0" w:line="240" w:lineRule="auto"/>
        <w:contextualSpacing/>
        <w:rPr>
          <w:sz w:val="28"/>
          <w:szCs w:val="28"/>
        </w:rPr>
      </w:pPr>
      <w:r>
        <w:rPr>
          <w:sz w:val="28"/>
          <w:szCs w:val="28"/>
        </w:rPr>
        <w:t>Educational Grant - Abbott Labs</w:t>
      </w:r>
    </w:p>
    <w:p w:rsidP="00BE75F1">
      <w:pPr>
        <w:spacing w:after="0" w:line="240" w:lineRule="auto"/>
        <w:contextualSpacing/>
        <w:rPr>
          <w:sz w:val="28"/>
          <w:szCs w:val="28"/>
        </w:rPr>
      </w:pPr>
      <w:r>
        <w:rPr>
          <w:sz w:val="28"/>
          <w:szCs w:val="28"/>
        </w:rPr>
        <w:t>System generated reversal as part of an adjustment - Abbott Labs</w:t>
      </w:r>
    </w:p>
    <w:p w:rsidP="00BE75F1">
      <w:pPr>
        <w:spacing w:after="0" w:line="240" w:lineRule="auto"/>
        <w:contextualSpacing/>
        <w:rPr>
          <w:sz w:val="28"/>
          <w:szCs w:val="28"/>
        </w:rPr>
      </w:pPr>
      <w:r>
        <w:rPr>
          <w:sz w:val="28"/>
          <w:szCs w:val="28"/>
        </w:rPr>
        <w:t>Educational Grant - Abbott Labs</w:t>
      </w:r>
    </w:p>
    <w:p w:rsidP="00BE75F1">
      <w:pPr>
        <w:spacing w:after="0" w:line="240" w:lineRule="auto"/>
        <w:contextualSpacing/>
        <w:rPr>
          <w:sz w:val="28"/>
          <w:szCs w:val="28"/>
        </w:rPr>
      </w:pPr>
      <w:r>
        <w:rPr>
          <w:sz w:val="28"/>
          <w:szCs w:val="28"/>
        </w:rPr>
        <w:t>Educational Grant - Toshiba (Any division)</w:t>
      </w:r>
    </w:p>
    <w:p w:rsidP="00BE75F1">
      <w:pPr>
        <w:spacing w:after="0" w:line="240" w:lineRule="auto"/>
        <w:contextualSpacing/>
        <w:rPr>
          <w:sz w:val="28"/>
          <w:szCs w:val="28"/>
        </w:rPr>
      </w:pPr>
      <w:r>
        <w:rPr>
          <w:sz w:val="28"/>
          <w:szCs w:val="28"/>
        </w:rPr>
        <w:t>Educational Grant - Merck (Any division)</w:t>
      </w:r>
    </w:p>
    <w:p w:rsidP="00BE75F1">
      <w:pPr>
        <w:spacing w:after="0" w:line="240" w:lineRule="auto"/>
        <w:contextualSpacing/>
        <w:rPr>
          <w:sz w:val="28"/>
          <w:szCs w:val="28"/>
        </w:rPr>
      </w:pPr>
    </w:p>
    <w:p w:rsidR="006A2AEB" w:rsidRPr="00BE75F1" w:rsidP="00BE75F1">
      <w:pPr>
        <w:spacing w:after="0" w:line="240" w:lineRule="auto"/>
        <w:contextualSpacing/>
        <w:rPr>
          <w:sz w:val="28"/>
          <w:szCs w:val="28"/>
        </w:rPr>
      </w:pPr>
    </w:p>
    <w:p w:rsidR="006A2AEB" w:rsidRPr="00BE75F1">
      <w:pPr>
        <w:spacing w:after="0" w:line="240" w:lineRule="auto"/>
        <w:contextualSpacing/>
        <w:rPr>
          <w:sz w:val="28"/>
          <w:szCs w:val="28"/>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Saylor, James</cp:lastModifiedBy>
  <cp:revision>10</cp:revision>
  <dcterms:created xsi:type="dcterms:W3CDTF">2023-10-10T15:44:00Z</dcterms:created>
  <dcterms:modified xsi:type="dcterms:W3CDTF">2023-10-31T15:02:00Z</dcterms:modified>
</cp:coreProperties>
</file>